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CF" w:rsidRDefault="001A6D41" w:rsidP="00B67BCF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67BCF">
        <w:rPr>
          <w:rFonts w:cstheme="minorHAnsi"/>
          <w:b/>
          <w:sz w:val="24"/>
          <w:szCs w:val="24"/>
          <w:u w:val="single"/>
        </w:rPr>
        <w:t xml:space="preserve">OBTENCIÓN DE PERMISOS PARA PROMOCIONES COMERCIALES </w:t>
      </w:r>
    </w:p>
    <w:p w:rsidR="00B67BCF" w:rsidRDefault="001A6D41" w:rsidP="00B67BCF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67BCF">
        <w:rPr>
          <w:rFonts w:cstheme="minorHAnsi"/>
          <w:b/>
          <w:sz w:val="24"/>
          <w:szCs w:val="24"/>
          <w:u w:val="single"/>
        </w:rPr>
        <w:t xml:space="preserve">ANTE LA JUNTA DE CONTROL DE JUEGOS </w:t>
      </w:r>
    </w:p>
    <w:p w:rsidR="001A6D41" w:rsidRPr="00B67BCF" w:rsidRDefault="001A6D41" w:rsidP="00B67BCF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B67BCF">
        <w:rPr>
          <w:rFonts w:cstheme="minorHAnsi"/>
          <w:b/>
          <w:sz w:val="24"/>
          <w:szCs w:val="24"/>
          <w:u w:val="single"/>
        </w:rPr>
        <w:t>DEL MINISTE</w:t>
      </w:r>
      <w:r w:rsidR="0029344C" w:rsidRPr="00B67BCF">
        <w:rPr>
          <w:rFonts w:cstheme="minorHAnsi"/>
          <w:b/>
          <w:sz w:val="24"/>
          <w:szCs w:val="24"/>
          <w:u w:val="single"/>
        </w:rPr>
        <w:t>RIO DE ECONOMIA Y FINANZAS (MEF</w:t>
      </w:r>
      <w:r w:rsidRPr="00B67BCF">
        <w:rPr>
          <w:rFonts w:cstheme="minorHAnsi"/>
          <w:b/>
          <w:sz w:val="24"/>
          <w:szCs w:val="24"/>
          <w:u w:val="single"/>
        </w:rPr>
        <w:t>)</w:t>
      </w:r>
    </w:p>
    <w:p w:rsidR="00292C64" w:rsidRPr="00B67BCF" w:rsidRDefault="00292C64" w:rsidP="00B67B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A6D41" w:rsidRPr="00B67BCF" w:rsidRDefault="00292C64" w:rsidP="00B67B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sz w:val="24"/>
          <w:szCs w:val="24"/>
        </w:rPr>
        <w:t>Requisitos correspondientes a la celebración de Promociones Comerciales, reguladas por la Resolución No. 059 de</w:t>
      </w:r>
      <w:r w:rsidR="001A6D41" w:rsidRPr="00B67BCF">
        <w:rPr>
          <w:rFonts w:cstheme="minorHAnsi"/>
          <w:sz w:val="24"/>
          <w:szCs w:val="24"/>
        </w:rPr>
        <w:t xml:space="preserve"> 26 de julio de 1999.</w:t>
      </w:r>
    </w:p>
    <w:p w:rsidR="00292C64" w:rsidRPr="00B67BCF" w:rsidRDefault="00292C64" w:rsidP="00B67B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sz w:val="24"/>
          <w:szCs w:val="24"/>
        </w:rPr>
        <w:t xml:space="preserve">Entrega de documentos: </w:t>
      </w:r>
      <w:r w:rsidRPr="00B67BCF">
        <w:rPr>
          <w:rFonts w:cstheme="minorHAnsi"/>
          <w:b/>
          <w:sz w:val="24"/>
          <w:szCs w:val="24"/>
        </w:rPr>
        <w:t>15 días hábiles</w:t>
      </w:r>
      <w:r w:rsidRPr="00B67BCF">
        <w:rPr>
          <w:rFonts w:cstheme="minorHAnsi"/>
          <w:sz w:val="24"/>
          <w:szCs w:val="24"/>
        </w:rPr>
        <w:t xml:space="preserve"> antes del inicio de la promoción, tómbola o rifa.</w:t>
      </w:r>
    </w:p>
    <w:p w:rsidR="00292C64" w:rsidRPr="00B67BCF" w:rsidRDefault="00292C64" w:rsidP="00B67B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b/>
          <w:sz w:val="24"/>
          <w:szCs w:val="24"/>
        </w:rPr>
        <w:t>Poder (notariado) y Memorial en papel habilitado con Ocho Balboas con 00/100 (B/.8.00) en timbres</w:t>
      </w:r>
      <w:r w:rsidRPr="00B67BCF">
        <w:rPr>
          <w:rFonts w:cstheme="minorHAnsi"/>
          <w:sz w:val="24"/>
          <w:szCs w:val="24"/>
        </w:rPr>
        <w:t>, dirigido a la Junta de Control de Juegos.</w:t>
      </w: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b/>
          <w:sz w:val="24"/>
          <w:szCs w:val="24"/>
        </w:rPr>
        <w:t>Mecánica de la Promoción Comercial</w:t>
      </w:r>
      <w:r w:rsidRPr="00B67BCF">
        <w:rPr>
          <w:rFonts w:cstheme="minorHAnsi"/>
          <w:sz w:val="24"/>
          <w:szCs w:val="24"/>
        </w:rPr>
        <w:t>, señalando como se obtienen los boletos o la forma de participación. (</w:t>
      </w:r>
      <w:r w:rsidR="001A6D41" w:rsidRPr="00B67BCF">
        <w:rPr>
          <w:rFonts w:cstheme="minorHAnsi"/>
          <w:sz w:val="24"/>
          <w:szCs w:val="24"/>
        </w:rPr>
        <w:t>Plan</w:t>
      </w:r>
      <w:r w:rsidRPr="00B67BCF">
        <w:rPr>
          <w:rFonts w:cstheme="minorHAnsi"/>
          <w:sz w:val="24"/>
          <w:szCs w:val="24"/>
        </w:rPr>
        <w:t>, detalle de los premios completos, establecimientos participantes, centros de canje, condiciones, restricciones: de restringir a colaboradores, imprentas, publicitarias al momento de presentar la documentación debe presentar el control que llevan para justificar que no vayan salir ganadores en la tómbola).</w:t>
      </w: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b/>
          <w:sz w:val="24"/>
          <w:szCs w:val="24"/>
        </w:rPr>
        <w:t>Copia de la idoneidad profesional del abogado.</w:t>
      </w: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67BCF">
        <w:rPr>
          <w:rFonts w:cstheme="minorHAnsi"/>
          <w:b/>
          <w:sz w:val="24"/>
          <w:szCs w:val="24"/>
        </w:rPr>
        <w:t>Señalar el término de duración de la promoción comercial</w:t>
      </w:r>
      <w:r w:rsidRPr="00B67BCF">
        <w:rPr>
          <w:rFonts w:cstheme="minorHAnsi"/>
          <w:sz w:val="24"/>
          <w:szCs w:val="24"/>
        </w:rPr>
        <w:t xml:space="preserve">, el cual no podrá </w:t>
      </w:r>
      <w:r w:rsidR="001A6D41" w:rsidRPr="00B67BCF">
        <w:rPr>
          <w:rFonts w:cstheme="minorHAnsi"/>
          <w:sz w:val="24"/>
          <w:szCs w:val="24"/>
        </w:rPr>
        <w:t>ser</w:t>
      </w:r>
      <w:r w:rsidRPr="00B67BCF">
        <w:rPr>
          <w:rFonts w:cstheme="minorHAnsi"/>
          <w:sz w:val="24"/>
          <w:szCs w:val="24"/>
        </w:rPr>
        <w:t xml:space="preserve"> superior a </w:t>
      </w:r>
      <w:r w:rsidRPr="00B67BCF">
        <w:rPr>
          <w:rFonts w:cstheme="minorHAnsi"/>
          <w:b/>
          <w:sz w:val="24"/>
          <w:szCs w:val="24"/>
        </w:rPr>
        <w:t>un (1) año.</w:t>
      </w: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b/>
          <w:sz w:val="24"/>
          <w:szCs w:val="24"/>
        </w:rPr>
        <w:t>Descripción de los premios</w:t>
      </w:r>
      <w:r w:rsidR="00B67BCF" w:rsidRPr="00B67BCF">
        <w:rPr>
          <w:rFonts w:cstheme="minorHAnsi"/>
          <w:b/>
          <w:sz w:val="24"/>
          <w:szCs w:val="24"/>
        </w:rPr>
        <w:t xml:space="preserve"> </w:t>
      </w:r>
      <w:r w:rsidRPr="00B67BCF">
        <w:rPr>
          <w:rFonts w:cstheme="minorHAnsi"/>
          <w:b/>
          <w:sz w:val="24"/>
          <w:szCs w:val="24"/>
        </w:rPr>
        <w:t>que se entregarán</w:t>
      </w:r>
      <w:r w:rsidRPr="00B67BCF">
        <w:rPr>
          <w:rFonts w:cstheme="minorHAnsi"/>
          <w:sz w:val="24"/>
          <w:szCs w:val="24"/>
        </w:rPr>
        <w:t>, el valor de cada uno y cómo se obtienen los mismos.</w:t>
      </w: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b/>
          <w:sz w:val="24"/>
          <w:szCs w:val="24"/>
        </w:rPr>
        <w:t>La cantidad de boletos que se emitirán</w:t>
      </w:r>
      <w:r w:rsidRPr="00B67BCF">
        <w:rPr>
          <w:rFonts w:cstheme="minorHAnsi"/>
          <w:sz w:val="24"/>
          <w:szCs w:val="24"/>
        </w:rPr>
        <w:t xml:space="preserve">, </w:t>
      </w:r>
      <w:r w:rsidRPr="00B67BCF">
        <w:rPr>
          <w:rFonts w:cstheme="minorHAnsi"/>
          <w:b/>
          <w:sz w:val="24"/>
          <w:szCs w:val="24"/>
        </w:rPr>
        <w:t>muestra del boleto,</w:t>
      </w:r>
      <w:r w:rsidRPr="00B67BCF">
        <w:rPr>
          <w:rFonts w:cstheme="minorHAnsi"/>
          <w:sz w:val="24"/>
          <w:szCs w:val="24"/>
        </w:rPr>
        <w:t xml:space="preserve"> con </w:t>
      </w:r>
      <w:r w:rsidRPr="00B67BCF">
        <w:rPr>
          <w:rFonts w:cstheme="minorHAnsi"/>
          <w:b/>
          <w:sz w:val="24"/>
          <w:szCs w:val="24"/>
        </w:rPr>
        <w:t>numeración</w:t>
      </w:r>
      <w:r w:rsidRPr="00B67BCF">
        <w:rPr>
          <w:rFonts w:cstheme="minorHAnsi"/>
          <w:sz w:val="24"/>
          <w:szCs w:val="24"/>
        </w:rPr>
        <w:t xml:space="preserve">, y </w:t>
      </w:r>
      <w:r w:rsidRPr="00B67BCF">
        <w:rPr>
          <w:rFonts w:cstheme="minorHAnsi"/>
          <w:b/>
          <w:sz w:val="24"/>
          <w:szCs w:val="24"/>
        </w:rPr>
        <w:t>muestra visible</w:t>
      </w:r>
      <w:r w:rsidRPr="00B67BCF">
        <w:rPr>
          <w:rFonts w:cstheme="minorHAnsi"/>
          <w:sz w:val="24"/>
          <w:szCs w:val="24"/>
        </w:rPr>
        <w:t xml:space="preserve"> donde va ubicado el número de resolución y nombre de la imprenta que lo confeccionará.</w:t>
      </w: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b/>
          <w:sz w:val="24"/>
          <w:szCs w:val="24"/>
        </w:rPr>
        <w:t>Original del Certificado de Registro Público</w:t>
      </w:r>
      <w:r w:rsidRPr="00B67BCF">
        <w:rPr>
          <w:rFonts w:cstheme="minorHAnsi"/>
          <w:sz w:val="24"/>
          <w:szCs w:val="24"/>
        </w:rPr>
        <w:t>.</w:t>
      </w: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b/>
          <w:sz w:val="24"/>
          <w:szCs w:val="24"/>
        </w:rPr>
        <w:t>La fecha, hora y dirección</w:t>
      </w:r>
      <w:r w:rsidRPr="00B67BCF">
        <w:rPr>
          <w:rFonts w:cstheme="minorHAnsi"/>
          <w:sz w:val="24"/>
          <w:szCs w:val="24"/>
        </w:rPr>
        <w:t xml:space="preserve"> </w:t>
      </w:r>
      <w:r w:rsidRPr="00B67BCF">
        <w:rPr>
          <w:rFonts w:cstheme="minorHAnsi"/>
          <w:b/>
          <w:sz w:val="24"/>
          <w:szCs w:val="24"/>
        </w:rPr>
        <w:t>completa</w:t>
      </w:r>
      <w:r w:rsidRPr="00B67BCF">
        <w:rPr>
          <w:rFonts w:cstheme="minorHAnsi"/>
          <w:sz w:val="24"/>
          <w:szCs w:val="24"/>
        </w:rPr>
        <w:t xml:space="preserve"> de la celebración de los sorteos.</w:t>
      </w: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67BCF">
        <w:rPr>
          <w:rFonts w:cstheme="minorHAnsi"/>
          <w:b/>
          <w:sz w:val="24"/>
          <w:szCs w:val="24"/>
        </w:rPr>
        <w:t>Fianza por el valor total de los premi</w:t>
      </w:r>
      <w:r w:rsidR="001A6D41" w:rsidRPr="00B67BCF">
        <w:rPr>
          <w:rFonts w:cstheme="minorHAnsi"/>
          <w:b/>
          <w:sz w:val="24"/>
          <w:szCs w:val="24"/>
        </w:rPr>
        <w:t>os</w:t>
      </w:r>
    </w:p>
    <w:p w:rsidR="001A6D41" w:rsidRPr="00B67BCF" w:rsidRDefault="001A6D41" w:rsidP="00B67B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b/>
          <w:sz w:val="24"/>
          <w:szCs w:val="24"/>
        </w:rPr>
        <w:t>Facturas originales de compra de los premios a rifar</w:t>
      </w:r>
      <w:r w:rsidRPr="00B67BCF">
        <w:rPr>
          <w:rFonts w:cstheme="minorHAnsi"/>
          <w:sz w:val="24"/>
          <w:szCs w:val="24"/>
        </w:rPr>
        <w:t>, las cuales deberán reflejar el valor de los premios, incluyendo el siete por ciento (7%) de I.T.B.M.S. En caso de que los premios sean donados o de propiedad a los responsables de la Rifa, podrán acreditar su valor mediante carta compromiso o factura pro forma expedida por el donante o el solicitante. Aplica en promociones comerciales.</w:t>
      </w: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sz w:val="24"/>
          <w:szCs w:val="24"/>
        </w:rPr>
        <w:t xml:space="preserve">En caso de premios en efectivo, </w:t>
      </w:r>
      <w:r w:rsidRPr="00B67BCF">
        <w:rPr>
          <w:rFonts w:cstheme="minorHAnsi"/>
          <w:b/>
          <w:sz w:val="24"/>
          <w:szCs w:val="24"/>
        </w:rPr>
        <w:t>carta compromiso de pago de la suma de dinero ofrecida.</w:t>
      </w:r>
      <w:r w:rsidRPr="00B67BCF">
        <w:rPr>
          <w:rFonts w:cstheme="minorHAnsi"/>
          <w:sz w:val="24"/>
          <w:szCs w:val="24"/>
        </w:rPr>
        <w:t xml:space="preserve"> </w:t>
      </w: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b/>
          <w:sz w:val="24"/>
          <w:szCs w:val="24"/>
        </w:rPr>
        <w:t>Cheque Certificado</w:t>
      </w:r>
      <w:r w:rsidRPr="00B67BCF">
        <w:rPr>
          <w:rFonts w:cstheme="minorHAnsi"/>
          <w:sz w:val="24"/>
          <w:szCs w:val="24"/>
        </w:rPr>
        <w:t xml:space="preserve"> o </w:t>
      </w:r>
      <w:r w:rsidRPr="00B67BCF">
        <w:rPr>
          <w:rFonts w:cstheme="minorHAnsi"/>
          <w:b/>
          <w:sz w:val="24"/>
          <w:szCs w:val="24"/>
        </w:rPr>
        <w:t xml:space="preserve">de </w:t>
      </w:r>
      <w:r w:rsidR="001A6D41" w:rsidRPr="00B67BCF">
        <w:rPr>
          <w:rFonts w:cstheme="minorHAnsi"/>
          <w:b/>
          <w:sz w:val="24"/>
          <w:szCs w:val="24"/>
        </w:rPr>
        <w:t>Gerencia</w:t>
      </w:r>
      <w:r w:rsidR="001A6D41" w:rsidRPr="00B67BCF">
        <w:rPr>
          <w:rFonts w:cstheme="minorHAnsi"/>
          <w:sz w:val="24"/>
          <w:szCs w:val="24"/>
        </w:rPr>
        <w:t xml:space="preserve"> </w:t>
      </w:r>
      <w:r w:rsidRPr="00B67BCF">
        <w:rPr>
          <w:rFonts w:cstheme="minorHAnsi"/>
          <w:sz w:val="24"/>
          <w:szCs w:val="24"/>
        </w:rPr>
        <w:t>a favor de la Junta de Control de Juegos por el diez por ciento (10%)</w:t>
      </w:r>
      <w:r w:rsidR="00B67BCF" w:rsidRPr="00B67BCF">
        <w:rPr>
          <w:rFonts w:cstheme="minorHAnsi"/>
          <w:sz w:val="24"/>
          <w:szCs w:val="24"/>
        </w:rPr>
        <w:t xml:space="preserve"> </w:t>
      </w:r>
      <w:r w:rsidRPr="00B67BCF">
        <w:rPr>
          <w:rFonts w:cstheme="minorHAnsi"/>
          <w:sz w:val="24"/>
          <w:szCs w:val="24"/>
        </w:rPr>
        <w:t xml:space="preserve">del valor total de los premios. </w:t>
      </w: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b/>
          <w:sz w:val="24"/>
          <w:szCs w:val="24"/>
        </w:rPr>
        <w:t>Cheque Certificado</w:t>
      </w:r>
      <w:r w:rsidRPr="00B67BCF">
        <w:rPr>
          <w:rFonts w:cstheme="minorHAnsi"/>
          <w:sz w:val="24"/>
          <w:szCs w:val="24"/>
        </w:rPr>
        <w:t xml:space="preserve"> o </w:t>
      </w:r>
      <w:r w:rsidRPr="00B67BCF">
        <w:rPr>
          <w:rFonts w:cstheme="minorHAnsi"/>
          <w:b/>
          <w:sz w:val="24"/>
          <w:szCs w:val="24"/>
        </w:rPr>
        <w:t>de Gerencia a favor del Tesoro Nacional</w:t>
      </w:r>
      <w:r w:rsidRPr="00B67BCF">
        <w:rPr>
          <w:rFonts w:cstheme="minorHAnsi"/>
          <w:sz w:val="24"/>
          <w:szCs w:val="24"/>
        </w:rPr>
        <w:t xml:space="preserve"> con </w:t>
      </w:r>
      <w:r w:rsidRPr="00B67BCF">
        <w:rPr>
          <w:rFonts w:cstheme="minorHAnsi"/>
          <w:b/>
          <w:sz w:val="24"/>
          <w:szCs w:val="24"/>
        </w:rPr>
        <w:t>número de R.U.C</w:t>
      </w:r>
      <w:r w:rsidRPr="00B67BCF">
        <w:rPr>
          <w:rFonts w:cstheme="minorHAnsi"/>
          <w:sz w:val="24"/>
          <w:szCs w:val="24"/>
        </w:rPr>
        <w:t>., en concepto de pago de Impuesto de Sellado de Boletos, conforme lo establece la Ley No. 52 de 1961, a razón de Cuatro Balboas con 00/100 (B/.4.00) por cada Mil Boletos o Fracción de Mil Boletos a imprimir.</w:t>
      </w: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b/>
          <w:sz w:val="24"/>
          <w:szCs w:val="24"/>
        </w:rPr>
        <w:t>Las promociones comerciales que utilicen los empaques o envolturas de sus productos</w:t>
      </w:r>
      <w:r w:rsidRPr="00B67BCF">
        <w:rPr>
          <w:rFonts w:cstheme="minorHAnsi"/>
          <w:sz w:val="24"/>
          <w:szCs w:val="24"/>
        </w:rPr>
        <w:t xml:space="preserve"> como medio para participar en una promoción comercial, no estarán obligadas al pago del impuesto de sellado de boletos.</w:t>
      </w: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sz w:val="24"/>
          <w:szCs w:val="24"/>
        </w:rPr>
        <w:t xml:space="preserve">Cuando se trate de los sorteos, </w:t>
      </w:r>
      <w:r w:rsidRPr="00B67BCF">
        <w:rPr>
          <w:rFonts w:cstheme="minorHAnsi"/>
          <w:b/>
          <w:sz w:val="24"/>
          <w:szCs w:val="24"/>
        </w:rPr>
        <w:t>deberán estar presentes el Notario Público y el Representante de la Junta de Control de Juegos</w:t>
      </w:r>
      <w:r w:rsidRPr="00B67BCF">
        <w:rPr>
          <w:rFonts w:cstheme="minorHAnsi"/>
          <w:sz w:val="24"/>
          <w:szCs w:val="24"/>
        </w:rPr>
        <w:t>, quien será la máxima autoridad.</w:t>
      </w:r>
    </w:p>
    <w:p w:rsidR="00292C64" w:rsidRPr="00B67BCF" w:rsidRDefault="00292C64" w:rsidP="00B67BC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67BCF">
        <w:rPr>
          <w:rFonts w:cstheme="minorHAnsi"/>
          <w:b/>
          <w:sz w:val="24"/>
          <w:szCs w:val="24"/>
        </w:rPr>
        <w:t>Comunicar los resultados del sorteo de la Tómbola a la Junta de Control de Juegos.</w:t>
      </w:r>
    </w:p>
    <w:p w:rsidR="00B67BCF" w:rsidRDefault="00B67BCF" w:rsidP="00B67B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92C64" w:rsidRDefault="00292C64" w:rsidP="00B67B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sz w:val="24"/>
          <w:szCs w:val="24"/>
        </w:rPr>
        <w:t>Sin embargo, se hace necesario establecer otros parámetros a cumplir para la aprobación de tómbolas electrónicas:</w:t>
      </w:r>
    </w:p>
    <w:p w:rsidR="00B67BCF" w:rsidRPr="00B67BCF" w:rsidRDefault="00B67BCF" w:rsidP="00B67BC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92C64" w:rsidRPr="00B67BCF" w:rsidRDefault="00292C64" w:rsidP="00B67BCF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sz w:val="24"/>
          <w:szCs w:val="24"/>
        </w:rPr>
        <w:lastRenderedPageBreak/>
        <w:t>La base de datos (urna electrónica), si se encuentra fuera del país; debe estar paralela y físicamente en línea dentro de un ordenador en nuestro país.</w:t>
      </w:r>
    </w:p>
    <w:p w:rsidR="00292C64" w:rsidRPr="00B67BCF" w:rsidRDefault="00292C64" w:rsidP="00B67BCF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sz w:val="24"/>
          <w:szCs w:val="24"/>
        </w:rPr>
        <w:t>El software para extraer los ganadores debe estar instalado en un ordenador en nuestro país. Por consiguiente, no se aprobarán tómbolas electrónicas vía Web.</w:t>
      </w:r>
    </w:p>
    <w:p w:rsidR="00292C64" w:rsidRPr="00B67BCF" w:rsidRDefault="00292C64" w:rsidP="00B67BCF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sz w:val="24"/>
          <w:szCs w:val="24"/>
        </w:rPr>
        <w:t>Permitir al Analista de la Junta de Control de Juegos (J.C.J.), tener acceso al código fuente y realizar las verificaciones que sean necesarias.</w:t>
      </w:r>
    </w:p>
    <w:p w:rsidR="0051652A" w:rsidRPr="00B67BCF" w:rsidRDefault="00292C64" w:rsidP="00B67BCF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67BCF">
        <w:rPr>
          <w:rFonts w:cstheme="minorHAnsi"/>
          <w:sz w:val="24"/>
          <w:szCs w:val="24"/>
        </w:rPr>
        <w:t>Una vez finalizada la promoción comercial, se deberá inhabilitar todas las opciones de participación (mensaje de texto, línea telefónica fija, IVR, o acceso a tra</w:t>
      </w:r>
      <w:r w:rsidR="001A6D41" w:rsidRPr="00B67BCF">
        <w:rPr>
          <w:rFonts w:cstheme="minorHAnsi"/>
          <w:sz w:val="24"/>
          <w:szCs w:val="24"/>
        </w:rPr>
        <w:t xml:space="preserve">vés de sitio Web) </w:t>
      </w:r>
      <w:r w:rsidR="0029344C" w:rsidRPr="00B67BCF">
        <w:rPr>
          <w:rFonts w:cstheme="minorHAnsi"/>
          <w:sz w:val="24"/>
          <w:szCs w:val="24"/>
        </w:rPr>
        <w:t>o</w:t>
      </w:r>
      <w:r w:rsidR="001A6D41" w:rsidRPr="00B67BCF">
        <w:rPr>
          <w:rFonts w:cstheme="minorHAnsi"/>
          <w:sz w:val="24"/>
          <w:szCs w:val="24"/>
        </w:rPr>
        <w:t xml:space="preserve"> llamar: 507-7935, 507-7442, Departamento de Promociones Comerciales. </w:t>
      </w:r>
    </w:p>
    <w:sectPr w:rsidR="0051652A" w:rsidRPr="00B67BC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13" w:rsidRDefault="00D46C13" w:rsidP="00A23117">
      <w:pPr>
        <w:spacing w:after="0" w:line="240" w:lineRule="auto"/>
      </w:pPr>
      <w:r>
        <w:separator/>
      </w:r>
    </w:p>
  </w:endnote>
  <w:endnote w:type="continuationSeparator" w:id="0">
    <w:p w:rsidR="00D46C13" w:rsidRDefault="00D46C13" w:rsidP="00A2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13" w:rsidRDefault="00D46C13" w:rsidP="00A23117">
      <w:pPr>
        <w:spacing w:after="0" w:line="240" w:lineRule="auto"/>
      </w:pPr>
      <w:r>
        <w:separator/>
      </w:r>
    </w:p>
  </w:footnote>
  <w:footnote w:type="continuationSeparator" w:id="0">
    <w:p w:rsidR="00D46C13" w:rsidRDefault="00D46C13" w:rsidP="00A2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CF" w:rsidRDefault="00B67BCF" w:rsidP="00B67BCF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5D97E98D" wp14:editId="27E7B199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BCF" w:rsidRDefault="00B67B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E2"/>
    <w:multiLevelType w:val="hybridMultilevel"/>
    <w:tmpl w:val="45E0F122"/>
    <w:lvl w:ilvl="0" w:tplc="EF9A95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6AF0"/>
    <w:multiLevelType w:val="hybridMultilevel"/>
    <w:tmpl w:val="93E2E3D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23A5"/>
    <w:multiLevelType w:val="hybridMultilevel"/>
    <w:tmpl w:val="3776024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C1282"/>
    <w:multiLevelType w:val="hybridMultilevel"/>
    <w:tmpl w:val="27F2F9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6710A"/>
    <w:multiLevelType w:val="hybridMultilevel"/>
    <w:tmpl w:val="779ADD6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A29E9"/>
    <w:multiLevelType w:val="hybridMultilevel"/>
    <w:tmpl w:val="23C81BA0"/>
    <w:lvl w:ilvl="0" w:tplc="EF9A95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21398"/>
    <w:multiLevelType w:val="hybridMultilevel"/>
    <w:tmpl w:val="AA5AF21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34E01"/>
    <w:multiLevelType w:val="hybridMultilevel"/>
    <w:tmpl w:val="9C88B27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12015"/>
    <w:multiLevelType w:val="hybridMultilevel"/>
    <w:tmpl w:val="2E7829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474F"/>
    <w:multiLevelType w:val="hybridMultilevel"/>
    <w:tmpl w:val="DE8896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93B36"/>
    <w:multiLevelType w:val="hybridMultilevel"/>
    <w:tmpl w:val="4106F9A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47B10"/>
    <w:multiLevelType w:val="hybridMultilevel"/>
    <w:tmpl w:val="7A6CEF4E"/>
    <w:lvl w:ilvl="0" w:tplc="EF9A95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8252F"/>
    <w:multiLevelType w:val="hybridMultilevel"/>
    <w:tmpl w:val="5A76BBB2"/>
    <w:lvl w:ilvl="0" w:tplc="0C7AEB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8"/>
    <w:rsid w:val="00031F27"/>
    <w:rsid w:val="00065654"/>
    <w:rsid w:val="00066C73"/>
    <w:rsid w:val="00093E69"/>
    <w:rsid w:val="000A16D0"/>
    <w:rsid w:val="000C6617"/>
    <w:rsid w:val="000D4B8C"/>
    <w:rsid w:val="00166E55"/>
    <w:rsid w:val="00192C53"/>
    <w:rsid w:val="00195E53"/>
    <w:rsid w:val="001A6D41"/>
    <w:rsid w:val="0024650B"/>
    <w:rsid w:val="00252A55"/>
    <w:rsid w:val="00292C64"/>
    <w:rsid w:val="0029344C"/>
    <w:rsid w:val="003155AE"/>
    <w:rsid w:val="00355B94"/>
    <w:rsid w:val="00386EC8"/>
    <w:rsid w:val="003E7780"/>
    <w:rsid w:val="00441EE1"/>
    <w:rsid w:val="004A73B3"/>
    <w:rsid w:val="004A7CF9"/>
    <w:rsid w:val="00506601"/>
    <w:rsid w:val="0051652A"/>
    <w:rsid w:val="005D4678"/>
    <w:rsid w:val="006D57E5"/>
    <w:rsid w:val="00702A8A"/>
    <w:rsid w:val="008479CA"/>
    <w:rsid w:val="008B5CD1"/>
    <w:rsid w:val="00944DCD"/>
    <w:rsid w:val="00981A74"/>
    <w:rsid w:val="00A23117"/>
    <w:rsid w:val="00A66889"/>
    <w:rsid w:val="00A96D63"/>
    <w:rsid w:val="00B159BE"/>
    <w:rsid w:val="00B67BCF"/>
    <w:rsid w:val="00B941E8"/>
    <w:rsid w:val="00BB6A9C"/>
    <w:rsid w:val="00BE1C2F"/>
    <w:rsid w:val="00C11A2A"/>
    <w:rsid w:val="00C2404C"/>
    <w:rsid w:val="00CB7BBB"/>
    <w:rsid w:val="00CC50F1"/>
    <w:rsid w:val="00D12AD0"/>
    <w:rsid w:val="00D46C13"/>
    <w:rsid w:val="00DA7E44"/>
    <w:rsid w:val="00ED68B4"/>
    <w:rsid w:val="00F0283D"/>
    <w:rsid w:val="00F702C7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E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52A"/>
    <w:rPr>
      <w:rFonts w:ascii="Tahoma" w:hAnsi="Tahoma" w:cs="Tahoma"/>
      <w:sz w:val="16"/>
      <w:szCs w:val="16"/>
    </w:rPr>
  </w:style>
  <w:style w:type="character" w:customStyle="1" w:styleId="obsnota1">
    <w:name w:val="obsnota1"/>
    <w:basedOn w:val="Fuentedeprrafopredeter"/>
    <w:rsid w:val="00F702C7"/>
    <w:rPr>
      <w:color w:val="909090"/>
    </w:rPr>
  </w:style>
  <w:style w:type="paragraph" w:styleId="Encabezado">
    <w:name w:val="header"/>
    <w:basedOn w:val="Normal"/>
    <w:link w:val="Encabezado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117"/>
  </w:style>
  <w:style w:type="paragraph" w:styleId="Piedepgina">
    <w:name w:val="footer"/>
    <w:basedOn w:val="Normal"/>
    <w:link w:val="Piedepgina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117"/>
  </w:style>
  <w:style w:type="character" w:styleId="Hipervnculo">
    <w:name w:val="Hyperlink"/>
    <w:basedOn w:val="Fuentedeprrafopredeter"/>
    <w:uiPriority w:val="99"/>
    <w:unhideWhenUsed/>
    <w:rsid w:val="00A96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E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52A"/>
    <w:rPr>
      <w:rFonts w:ascii="Tahoma" w:hAnsi="Tahoma" w:cs="Tahoma"/>
      <w:sz w:val="16"/>
      <w:szCs w:val="16"/>
    </w:rPr>
  </w:style>
  <w:style w:type="character" w:customStyle="1" w:styleId="obsnota1">
    <w:name w:val="obsnota1"/>
    <w:basedOn w:val="Fuentedeprrafopredeter"/>
    <w:rsid w:val="00F702C7"/>
    <w:rPr>
      <w:color w:val="909090"/>
    </w:rPr>
  </w:style>
  <w:style w:type="paragraph" w:styleId="Encabezado">
    <w:name w:val="header"/>
    <w:basedOn w:val="Normal"/>
    <w:link w:val="Encabezado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117"/>
  </w:style>
  <w:style w:type="paragraph" w:styleId="Piedepgina">
    <w:name w:val="footer"/>
    <w:basedOn w:val="Normal"/>
    <w:link w:val="Piedepgina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117"/>
  </w:style>
  <w:style w:type="character" w:styleId="Hipervnculo">
    <w:name w:val="Hyperlink"/>
    <w:basedOn w:val="Fuentedeprrafopredeter"/>
    <w:uiPriority w:val="99"/>
    <w:unhideWhenUsed/>
    <w:rsid w:val="00A96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</cp:revision>
  <dcterms:created xsi:type="dcterms:W3CDTF">2011-12-14T22:24:00Z</dcterms:created>
  <dcterms:modified xsi:type="dcterms:W3CDTF">2012-02-16T16:56:00Z</dcterms:modified>
</cp:coreProperties>
</file>