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3A" w:rsidRPr="00F32F7B" w:rsidRDefault="00325E16" w:rsidP="00F32F7B">
      <w:pPr>
        <w:spacing w:after="0" w:line="360" w:lineRule="auto"/>
        <w:ind w:firstLine="709"/>
        <w:jc w:val="center"/>
        <w:rPr>
          <w:b/>
          <w:sz w:val="24"/>
          <w:szCs w:val="24"/>
          <w:u w:val="single"/>
        </w:rPr>
      </w:pPr>
      <w:r w:rsidRPr="00F32F7B">
        <w:rPr>
          <w:b/>
          <w:sz w:val="24"/>
          <w:szCs w:val="24"/>
          <w:u w:val="single"/>
        </w:rPr>
        <w:t>SOLCITUD DE PERMISOS TEMPORALES POR POLICITAS ESPECIALES A PERSONAL EXTRANJERO CONTRATADO POR EMPRESAS DE LA INDUSTRI</w:t>
      </w:r>
      <w:r w:rsidR="00F32F7B">
        <w:rPr>
          <w:b/>
          <w:sz w:val="24"/>
          <w:szCs w:val="24"/>
          <w:u w:val="single"/>
        </w:rPr>
        <w:t>A CINEMATOGRAFICA Y AUDIOVISUAL</w:t>
      </w:r>
    </w:p>
    <w:p w:rsidR="008868ED" w:rsidRPr="00F32F7B" w:rsidRDefault="008868ED" w:rsidP="00F32F7B">
      <w:pPr>
        <w:spacing w:after="0" w:line="360" w:lineRule="auto"/>
        <w:ind w:firstLine="709"/>
        <w:jc w:val="both"/>
        <w:rPr>
          <w:b/>
          <w:sz w:val="24"/>
          <w:szCs w:val="24"/>
        </w:rPr>
      </w:pPr>
    </w:p>
    <w:p w:rsidR="00325E16" w:rsidRPr="00F32F7B" w:rsidRDefault="00325E16" w:rsidP="00F32F7B">
      <w:pPr>
        <w:spacing w:after="0" w:line="360" w:lineRule="auto"/>
        <w:ind w:firstLine="709"/>
        <w:jc w:val="both"/>
        <w:rPr>
          <w:sz w:val="24"/>
          <w:szCs w:val="24"/>
        </w:rPr>
      </w:pPr>
      <w:r w:rsidRPr="00F32F7B">
        <w:rPr>
          <w:b/>
          <w:sz w:val="24"/>
          <w:szCs w:val="24"/>
        </w:rPr>
        <w:t>Artículo 105</w:t>
      </w:r>
      <w:r w:rsidRPr="00F32F7B">
        <w:rPr>
          <w:sz w:val="24"/>
          <w:szCs w:val="24"/>
        </w:rPr>
        <w:t>. La vigencia de los permisos de residente temporal por razones de políticas especiales a que hace referencia éste capítulo, será por los períodos que establezcan sus leyes especiales hasta un total de seis (6) años.  Salvo que alguna ley especial establezca otro término, se otorgará hasta por seis (6) años, prorrogable anualmente.</w:t>
      </w:r>
    </w:p>
    <w:p w:rsidR="008868ED" w:rsidRPr="00F32F7B" w:rsidRDefault="008868ED" w:rsidP="00F32F7B">
      <w:pPr>
        <w:spacing w:after="0" w:line="360" w:lineRule="auto"/>
        <w:ind w:firstLine="709"/>
        <w:jc w:val="both"/>
        <w:rPr>
          <w:b/>
          <w:sz w:val="24"/>
          <w:szCs w:val="24"/>
        </w:rPr>
      </w:pPr>
    </w:p>
    <w:p w:rsidR="00325E16" w:rsidRPr="00F32F7B" w:rsidRDefault="00325E16" w:rsidP="00F32F7B">
      <w:pPr>
        <w:spacing w:after="0" w:line="360" w:lineRule="auto"/>
        <w:ind w:firstLine="709"/>
        <w:jc w:val="both"/>
        <w:rPr>
          <w:b/>
          <w:sz w:val="24"/>
          <w:szCs w:val="24"/>
        </w:rPr>
      </w:pPr>
      <w:r w:rsidRPr="00F32F7B">
        <w:rPr>
          <w:b/>
          <w:sz w:val="24"/>
          <w:szCs w:val="24"/>
        </w:rPr>
        <w:t>Requisitos Básicos:</w:t>
      </w:r>
    </w:p>
    <w:p w:rsidR="00325E16" w:rsidRPr="00F32F7B" w:rsidRDefault="00325E16" w:rsidP="00F32F7B">
      <w:pPr>
        <w:spacing w:after="0" w:line="360" w:lineRule="auto"/>
        <w:ind w:firstLine="709"/>
        <w:jc w:val="both"/>
        <w:rPr>
          <w:sz w:val="24"/>
          <w:szCs w:val="24"/>
        </w:rPr>
      </w:pPr>
      <w:r w:rsidRPr="00F32F7B">
        <w:rPr>
          <w:b/>
          <w:sz w:val="24"/>
          <w:szCs w:val="24"/>
        </w:rPr>
        <w:t>Artículo 106.</w:t>
      </w:r>
      <w:r w:rsidRPr="00F32F7B">
        <w:rPr>
          <w:sz w:val="24"/>
          <w:szCs w:val="24"/>
        </w:rPr>
        <w:t xml:space="preserve"> Podrá solicitar este permiso el extranjero que ingresa al país temporalmente, como empleado de confianza, productor, actor, técnico o experto de empresas extranjeras que se acojan a la ley No. 36 de 2007.</w:t>
      </w:r>
    </w:p>
    <w:p w:rsidR="00325E16" w:rsidRPr="00F32F7B" w:rsidRDefault="00325E16" w:rsidP="00F32F7B">
      <w:pPr>
        <w:spacing w:after="0" w:line="360" w:lineRule="auto"/>
        <w:ind w:firstLine="709"/>
        <w:jc w:val="both"/>
        <w:rPr>
          <w:sz w:val="24"/>
          <w:szCs w:val="24"/>
        </w:rPr>
      </w:pPr>
      <w:r w:rsidRPr="00F32F7B">
        <w:rPr>
          <w:b/>
          <w:sz w:val="24"/>
          <w:szCs w:val="24"/>
        </w:rPr>
        <w:t>Artículo 107.</w:t>
      </w:r>
      <w:r w:rsidRPr="00F32F7B">
        <w:rPr>
          <w:sz w:val="24"/>
          <w:szCs w:val="24"/>
        </w:rPr>
        <w:t xml:space="preserve"> En adición a los requisitos comunes establecidos en el artículo 28 Decreto Ley (exceptuando el numeral 2 y 4), el solicitante deberá aportar los siguientes documentos:</w:t>
      </w:r>
    </w:p>
    <w:p w:rsidR="00325E16" w:rsidRPr="00F32F7B" w:rsidRDefault="00325E16" w:rsidP="00F32F7B">
      <w:pPr>
        <w:pStyle w:val="Prrafodelista"/>
        <w:numPr>
          <w:ilvl w:val="0"/>
          <w:numId w:val="3"/>
        </w:numPr>
        <w:spacing w:after="0" w:line="360" w:lineRule="auto"/>
        <w:jc w:val="both"/>
        <w:rPr>
          <w:sz w:val="24"/>
          <w:szCs w:val="24"/>
        </w:rPr>
      </w:pPr>
      <w:r w:rsidRPr="00F32F7B">
        <w:rPr>
          <w:sz w:val="24"/>
          <w:szCs w:val="24"/>
        </w:rPr>
        <w:t>Carta de responsabilidad emitida por la empresa cinematográfica, que acredite lo siguiente:</w:t>
      </w:r>
    </w:p>
    <w:p w:rsidR="00325E16" w:rsidRPr="00F32F7B" w:rsidRDefault="00325E16" w:rsidP="00F32F7B">
      <w:pPr>
        <w:pStyle w:val="Prrafodelista"/>
        <w:numPr>
          <w:ilvl w:val="0"/>
          <w:numId w:val="4"/>
        </w:numPr>
        <w:spacing w:after="0" w:line="360" w:lineRule="auto"/>
        <w:jc w:val="both"/>
        <w:rPr>
          <w:sz w:val="24"/>
          <w:szCs w:val="24"/>
        </w:rPr>
      </w:pPr>
      <w:r w:rsidRPr="00F32F7B">
        <w:rPr>
          <w:sz w:val="24"/>
          <w:szCs w:val="24"/>
        </w:rPr>
        <w:t>El cargo que ocupa, el tipo de servicio que prestará y por qué tiempo.</w:t>
      </w:r>
    </w:p>
    <w:p w:rsidR="00325E16" w:rsidRPr="00F32F7B" w:rsidRDefault="00325E16" w:rsidP="00F32F7B">
      <w:pPr>
        <w:pStyle w:val="Prrafodelista"/>
        <w:numPr>
          <w:ilvl w:val="0"/>
          <w:numId w:val="4"/>
        </w:numPr>
        <w:spacing w:after="0" w:line="360" w:lineRule="auto"/>
        <w:jc w:val="both"/>
        <w:rPr>
          <w:sz w:val="24"/>
          <w:szCs w:val="24"/>
        </w:rPr>
      </w:pPr>
      <w:r w:rsidRPr="00F32F7B">
        <w:rPr>
          <w:sz w:val="24"/>
          <w:szCs w:val="24"/>
        </w:rPr>
        <w:t>Que su salario proviene de fuente e</w:t>
      </w:r>
      <w:bookmarkStart w:id="0" w:name="_GoBack"/>
      <w:bookmarkEnd w:id="0"/>
      <w:r w:rsidRPr="00F32F7B">
        <w:rPr>
          <w:sz w:val="24"/>
          <w:szCs w:val="24"/>
        </w:rPr>
        <w:t>xtranjera.</w:t>
      </w:r>
    </w:p>
    <w:p w:rsidR="00325E16" w:rsidRPr="00F32F7B" w:rsidRDefault="00325E16" w:rsidP="00F32F7B">
      <w:pPr>
        <w:pStyle w:val="Prrafodelista"/>
        <w:numPr>
          <w:ilvl w:val="0"/>
          <w:numId w:val="3"/>
        </w:numPr>
        <w:spacing w:after="0" w:line="360" w:lineRule="auto"/>
        <w:jc w:val="both"/>
        <w:rPr>
          <w:sz w:val="24"/>
          <w:szCs w:val="24"/>
        </w:rPr>
      </w:pPr>
      <w:r w:rsidRPr="00F32F7B">
        <w:rPr>
          <w:sz w:val="24"/>
          <w:szCs w:val="24"/>
        </w:rPr>
        <w:t>Certificación del Registro Nacional de la Industria Cinematográfica del Ministerio de Comercio e Industrias, en el cual se indique si la empresa y/o producción cumple con las exigencias de la Ley 36 de 2007.</w:t>
      </w:r>
    </w:p>
    <w:p w:rsidR="00325E16" w:rsidRPr="00F32F7B" w:rsidRDefault="00325E16" w:rsidP="00F32F7B">
      <w:pPr>
        <w:pStyle w:val="Prrafodelista"/>
        <w:numPr>
          <w:ilvl w:val="0"/>
          <w:numId w:val="3"/>
        </w:numPr>
        <w:spacing w:after="0" w:line="360" w:lineRule="auto"/>
        <w:jc w:val="both"/>
        <w:rPr>
          <w:sz w:val="24"/>
          <w:szCs w:val="24"/>
        </w:rPr>
      </w:pPr>
      <w:r w:rsidRPr="00F32F7B">
        <w:rPr>
          <w:sz w:val="24"/>
          <w:szCs w:val="24"/>
        </w:rPr>
        <w:t>Prueba de solvencia económica de la empresa.</w:t>
      </w:r>
    </w:p>
    <w:p w:rsidR="00325E16" w:rsidRPr="00F32F7B" w:rsidRDefault="00325E16" w:rsidP="00F32F7B">
      <w:pPr>
        <w:pStyle w:val="Prrafodelista"/>
        <w:numPr>
          <w:ilvl w:val="0"/>
          <w:numId w:val="3"/>
        </w:numPr>
        <w:spacing w:after="0" w:line="360" w:lineRule="auto"/>
        <w:jc w:val="both"/>
        <w:rPr>
          <w:sz w:val="24"/>
          <w:szCs w:val="24"/>
        </w:rPr>
      </w:pPr>
      <w:r w:rsidRPr="00F32F7B">
        <w:rPr>
          <w:sz w:val="24"/>
          <w:szCs w:val="24"/>
        </w:rPr>
        <w:t>Pago de cien balboas (B/. 100.00) en concepto de servicios migratorios a favor del Servicio Nacional de Migración.</w:t>
      </w:r>
    </w:p>
    <w:p w:rsidR="00325E16" w:rsidRPr="00F32F7B" w:rsidRDefault="00325E16" w:rsidP="00F32F7B">
      <w:pPr>
        <w:spacing w:after="0" w:line="360" w:lineRule="auto"/>
        <w:ind w:firstLine="709"/>
        <w:jc w:val="both"/>
        <w:rPr>
          <w:sz w:val="24"/>
          <w:szCs w:val="24"/>
        </w:rPr>
      </w:pPr>
    </w:p>
    <w:p w:rsidR="00325E16" w:rsidRPr="00F32F7B" w:rsidRDefault="00325E16" w:rsidP="00F32F7B">
      <w:pPr>
        <w:spacing w:after="0" w:line="360" w:lineRule="auto"/>
        <w:ind w:firstLine="709"/>
        <w:jc w:val="both"/>
        <w:rPr>
          <w:sz w:val="24"/>
          <w:szCs w:val="24"/>
        </w:rPr>
      </w:pPr>
      <w:r w:rsidRPr="00F32F7B">
        <w:rPr>
          <w:b/>
          <w:sz w:val="24"/>
          <w:szCs w:val="24"/>
        </w:rPr>
        <w:t>Parágrafo</w:t>
      </w:r>
      <w:r w:rsidR="00F32F7B" w:rsidRPr="00F32F7B">
        <w:rPr>
          <w:b/>
          <w:sz w:val="24"/>
          <w:szCs w:val="24"/>
        </w:rPr>
        <w:t>:</w:t>
      </w:r>
      <w:r w:rsidR="00F32F7B" w:rsidRPr="00F32F7B">
        <w:rPr>
          <w:sz w:val="24"/>
          <w:szCs w:val="24"/>
        </w:rPr>
        <w:t xml:space="preserve"> En</w:t>
      </w:r>
      <w:r w:rsidRPr="00F32F7B">
        <w:rPr>
          <w:sz w:val="24"/>
          <w:szCs w:val="24"/>
        </w:rPr>
        <w:t xml:space="preserve"> caso que el solicitante del permiso, en virtud de las actividades que realiza, perciba ingresos de fuente panameña, requerirá autorización</w:t>
      </w:r>
      <w:r w:rsidR="008868ED" w:rsidRPr="00F32F7B">
        <w:rPr>
          <w:sz w:val="24"/>
          <w:szCs w:val="24"/>
        </w:rPr>
        <w:t xml:space="preserve"> previa del Ministerio de Trabajo y Desarrollo Laboral para ejercer dicha actividad.</w:t>
      </w:r>
    </w:p>
    <w:p w:rsidR="00325E16" w:rsidRPr="00F32F7B" w:rsidRDefault="00325E16" w:rsidP="00F32F7B">
      <w:pPr>
        <w:spacing w:after="0" w:line="360" w:lineRule="auto"/>
        <w:ind w:firstLine="709"/>
        <w:jc w:val="both"/>
        <w:rPr>
          <w:sz w:val="24"/>
          <w:szCs w:val="24"/>
        </w:rPr>
      </w:pPr>
    </w:p>
    <w:sectPr w:rsidR="00325E16" w:rsidRPr="00F32F7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FA2" w:rsidRDefault="003C5FA2" w:rsidP="00F32F7B">
      <w:pPr>
        <w:spacing w:after="0" w:line="240" w:lineRule="auto"/>
      </w:pPr>
      <w:r>
        <w:separator/>
      </w:r>
    </w:p>
  </w:endnote>
  <w:endnote w:type="continuationSeparator" w:id="0">
    <w:p w:rsidR="003C5FA2" w:rsidRDefault="003C5FA2" w:rsidP="00F3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FA2" w:rsidRDefault="003C5FA2" w:rsidP="00F32F7B">
      <w:pPr>
        <w:spacing w:after="0" w:line="240" w:lineRule="auto"/>
      </w:pPr>
      <w:r>
        <w:separator/>
      </w:r>
    </w:p>
  </w:footnote>
  <w:footnote w:type="continuationSeparator" w:id="0">
    <w:p w:rsidR="003C5FA2" w:rsidRDefault="003C5FA2" w:rsidP="00F32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7B" w:rsidRDefault="00F32F7B" w:rsidP="00F32F7B">
    <w:pPr>
      <w:pStyle w:val="Encabezado"/>
      <w:jc w:val="right"/>
    </w:pPr>
    <w:r>
      <w:rPr>
        <w:noProof/>
        <w:lang w:eastAsia="es-MX"/>
      </w:rPr>
      <w:drawing>
        <wp:inline distT="0" distB="0" distL="0" distR="0" wp14:anchorId="16CB798F" wp14:editId="17031CB9">
          <wp:extent cx="1370965" cy="993140"/>
          <wp:effectExtent l="0" t="0" r="635" b="0"/>
          <wp:docPr id="1" name="Imagen 1" descr="Descripción: RH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n 1" descr="Descripción: RHD++">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70965" cy="993140"/>
                  </a:xfrm>
                  <a:prstGeom prst="rect">
                    <a:avLst/>
                  </a:prstGeom>
                  <a:noFill/>
                  <a:ln>
                    <a:noFill/>
                  </a:ln>
                </pic:spPr>
              </pic:pic>
            </a:graphicData>
          </a:graphic>
        </wp:inline>
      </w:drawing>
    </w:r>
  </w:p>
  <w:p w:rsidR="00F32F7B" w:rsidRDefault="00F32F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115EC"/>
    <w:multiLevelType w:val="hybridMultilevel"/>
    <w:tmpl w:val="282690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934604"/>
    <w:multiLevelType w:val="hybridMultilevel"/>
    <w:tmpl w:val="033A3E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3035B1"/>
    <w:multiLevelType w:val="hybridMultilevel"/>
    <w:tmpl w:val="45CC223A"/>
    <w:lvl w:ilvl="0" w:tplc="86E0CB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35F71208"/>
    <w:multiLevelType w:val="hybridMultilevel"/>
    <w:tmpl w:val="F2D2041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16"/>
    <w:rsid w:val="0002683A"/>
    <w:rsid w:val="00325E16"/>
    <w:rsid w:val="003C5FA2"/>
    <w:rsid w:val="008868ED"/>
    <w:rsid w:val="00F32F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5E16"/>
    <w:pPr>
      <w:ind w:left="720"/>
      <w:contextualSpacing/>
    </w:pPr>
  </w:style>
  <w:style w:type="paragraph" w:styleId="Encabezado">
    <w:name w:val="header"/>
    <w:basedOn w:val="Normal"/>
    <w:link w:val="EncabezadoCar"/>
    <w:uiPriority w:val="99"/>
    <w:unhideWhenUsed/>
    <w:rsid w:val="00F32F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F7B"/>
  </w:style>
  <w:style w:type="paragraph" w:styleId="Piedepgina">
    <w:name w:val="footer"/>
    <w:basedOn w:val="Normal"/>
    <w:link w:val="PiedepginaCar"/>
    <w:uiPriority w:val="99"/>
    <w:unhideWhenUsed/>
    <w:rsid w:val="00F32F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2F7B"/>
  </w:style>
  <w:style w:type="paragraph" w:styleId="Textodeglobo">
    <w:name w:val="Balloon Text"/>
    <w:basedOn w:val="Normal"/>
    <w:link w:val="TextodegloboCar"/>
    <w:uiPriority w:val="99"/>
    <w:semiHidden/>
    <w:unhideWhenUsed/>
    <w:rsid w:val="00F32F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5E16"/>
    <w:pPr>
      <w:ind w:left="720"/>
      <w:contextualSpacing/>
    </w:pPr>
  </w:style>
  <w:style w:type="paragraph" w:styleId="Encabezado">
    <w:name w:val="header"/>
    <w:basedOn w:val="Normal"/>
    <w:link w:val="EncabezadoCar"/>
    <w:uiPriority w:val="99"/>
    <w:unhideWhenUsed/>
    <w:rsid w:val="00F32F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2F7B"/>
  </w:style>
  <w:style w:type="paragraph" w:styleId="Piedepgina">
    <w:name w:val="footer"/>
    <w:basedOn w:val="Normal"/>
    <w:link w:val="PiedepginaCar"/>
    <w:uiPriority w:val="99"/>
    <w:unhideWhenUsed/>
    <w:rsid w:val="00F32F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2F7B"/>
  </w:style>
  <w:style w:type="paragraph" w:styleId="Textodeglobo">
    <w:name w:val="Balloon Text"/>
    <w:basedOn w:val="Normal"/>
    <w:link w:val="TextodegloboCar"/>
    <w:uiPriority w:val="99"/>
    <w:semiHidden/>
    <w:unhideWhenUsed/>
    <w:rsid w:val="00F32F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2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4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CCECA4.85B49DA0" TargetMode="External"/><Relationship Id="rId2" Type="http://schemas.openxmlformats.org/officeDocument/2006/relationships/image" Target="media/image1.jpeg"/><Relationship Id="rId1" Type="http://schemas.openxmlformats.org/officeDocument/2006/relationships/hyperlink" Target="http://www.rhdabogado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266</Words>
  <Characters>1468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3</cp:revision>
  <dcterms:created xsi:type="dcterms:W3CDTF">2011-11-22T18:03:00Z</dcterms:created>
  <dcterms:modified xsi:type="dcterms:W3CDTF">2012-02-16T19:30:00Z</dcterms:modified>
</cp:coreProperties>
</file>