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E1" w:rsidRPr="00F619D7" w:rsidRDefault="00F619D7" w:rsidP="00F619D7">
      <w:pPr>
        <w:spacing w:after="0" w:line="360" w:lineRule="auto"/>
        <w:ind w:firstLine="709"/>
        <w:jc w:val="center"/>
        <w:rPr>
          <w:b/>
          <w:sz w:val="24"/>
          <w:szCs w:val="24"/>
          <w:u w:val="single"/>
        </w:rPr>
      </w:pPr>
      <w:r w:rsidRPr="00F619D7">
        <w:rPr>
          <w:b/>
          <w:sz w:val="24"/>
          <w:szCs w:val="24"/>
          <w:u w:val="single"/>
        </w:rPr>
        <w:t>PERMISO DE RESIDENTE PERMANENTE SOLVENCIA ECONÓMICA POR INVERSIÓN EN BIENES INMUEBLES</w:t>
      </w:r>
      <w:bookmarkStart w:id="0" w:name="_GoBack"/>
      <w:bookmarkEnd w:id="0"/>
    </w:p>
    <w:p w:rsidR="00DA49A7" w:rsidRPr="00F619D7" w:rsidRDefault="00DA49A7" w:rsidP="00F619D7">
      <w:pPr>
        <w:spacing w:after="0" w:line="360" w:lineRule="auto"/>
        <w:ind w:firstLine="709"/>
        <w:jc w:val="both"/>
        <w:rPr>
          <w:b/>
          <w:sz w:val="24"/>
          <w:szCs w:val="24"/>
        </w:rPr>
      </w:pPr>
    </w:p>
    <w:p w:rsidR="00F115E1" w:rsidRPr="00F619D7" w:rsidRDefault="00F115E1" w:rsidP="00F619D7">
      <w:pPr>
        <w:spacing w:after="0" w:line="360" w:lineRule="auto"/>
        <w:ind w:firstLine="709"/>
        <w:jc w:val="both"/>
        <w:rPr>
          <w:sz w:val="24"/>
          <w:szCs w:val="24"/>
        </w:rPr>
      </w:pPr>
      <w:r w:rsidRPr="00F619D7">
        <w:rPr>
          <w:b/>
          <w:sz w:val="24"/>
          <w:szCs w:val="24"/>
        </w:rPr>
        <w:t>SOLICITUD ESPECIAL</w:t>
      </w:r>
      <w:r w:rsidRPr="00F619D7">
        <w:rPr>
          <w:sz w:val="24"/>
          <w:szCs w:val="24"/>
        </w:rPr>
        <w:t>:  El Director General del Servicio Nacional de Migración podrá considerar las solicitudes de permiso de residente permanente en calidad de Solvencia Económica Propia de aquellos extranjeros que hayan invertido en bienes raíces en el territorio nacional, una suma mínima de doscientos mil balboas (B/.200,000.00) y menor de trescientos mil balboas (B/.300,000.00), y que por razones de fuerza mayor o caso fortuito no hayan podido sustentar la titularidad del bien antes de la entrada en vigen</w:t>
      </w:r>
      <w:r w:rsidR="00416D39" w:rsidRPr="00F619D7">
        <w:rPr>
          <w:sz w:val="24"/>
          <w:szCs w:val="24"/>
        </w:rPr>
        <w:t>cia de este reglamento.</w:t>
      </w:r>
    </w:p>
    <w:p w:rsidR="00F115E1" w:rsidRPr="00F619D7" w:rsidRDefault="00F115E1" w:rsidP="00F619D7">
      <w:pPr>
        <w:spacing w:after="0" w:line="360" w:lineRule="auto"/>
        <w:ind w:firstLine="709"/>
        <w:jc w:val="both"/>
        <w:rPr>
          <w:sz w:val="24"/>
          <w:szCs w:val="24"/>
        </w:rPr>
      </w:pPr>
      <w:r w:rsidRPr="00F619D7">
        <w:rPr>
          <w:sz w:val="24"/>
          <w:szCs w:val="24"/>
        </w:rPr>
        <w:t>Esta excepción deberá comprobarse con el pago a través de transferencia bancaria a la inmobiliaria en concepto de abono del inmueble y copia autenticada del contrato de promesa de compraventa.</w:t>
      </w:r>
    </w:p>
    <w:p w:rsidR="00F115E1" w:rsidRPr="00F619D7" w:rsidRDefault="00416D39" w:rsidP="00F619D7">
      <w:pPr>
        <w:spacing w:after="0" w:line="360" w:lineRule="auto"/>
        <w:ind w:firstLine="709"/>
        <w:jc w:val="both"/>
        <w:rPr>
          <w:b/>
          <w:sz w:val="24"/>
          <w:szCs w:val="24"/>
        </w:rPr>
      </w:pPr>
      <w:r w:rsidRPr="00F619D7">
        <w:rPr>
          <w:b/>
          <w:sz w:val="24"/>
          <w:szCs w:val="24"/>
        </w:rPr>
        <w:t>Requisitos Básicos:</w:t>
      </w:r>
    </w:p>
    <w:p w:rsidR="00F115E1" w:rsidRPr="00F619D7" w:rsidRDefault="00F115E1" w:rsidP="00F619D7">
      <w:pPr>
        <w:pStyle w:val="Prrafodelista"/>
        <w:numPr>
          <w:ilvl w:val="0"/>
          <w:numId w:val="1"/>
        </w:numPr>
        <w:spacing w:after="0" w:line="360" w:lineRule="auto"/>
        <w:ind w:firstLine="709"/>
        <w:jc w:val="both"/>
        <w:rPr>
          <w:sz w:val="24"/>
          <w:szCs w:val="24"/>
        </w:rPr>
      </w:pPr>
      <w:r w:rsidRPr="00F619D7">
        <w:rPr>
          <w:sz w:val="24"/>
          <w:szCs w:val="24"/>
        </w:rPr>
        <w:t>Solicitud mediante apoderado legal.</w:t>
      </w:r>
    </w:p>
    <w:p w:rsidR="00F115E1" w:rsidRPr="00F619D7" w:rsidRDefault="00F115E1" w:rsidP="00F619D7">
      <w:pPr>
        <w:pStyle w:val="Prrafodelista"/>
        <w:numPr>
          <w:ilvl w:val="0"/>
          <w:numId w:val="1"/>
        </w:numPr>
        <w:spacing w:after="0" w:line="360" w:lineRule="auto"/>
        <w:ind w:firstLine="709"/>
        <w:jc w:val="both"/>
        <w:rPr>
          <w:sz w:val="24"/>
          <w:szCs w:val="24"/>
        </w:rPr>
      </w:pPr>
      <w:r w:rsidRPr="00F619D7">
        <w:rPr>
          <w:sz w:val="24"/>
          <w:szCs w:val="24"/>
        </w:rPr>
        <w:t>Copia del pasaporte debidamente cotejada por notario público panameño, o acompañada de la certificación de la representación diplomática acreditada en el país o de la autoridad correspondiente en el lugar de emisión.</w:t>
      </w:r>
    </w:p>
    <w:p w:rsidR="00F115E1" w:rsidRPr="00F619D7" w:rsidRDefault="00F115E1" w:rsidP="00F619D7">
      <w:pPr>
        <w:pStyle w:val="Prrafodelista"/>
        <w:numPr>
          <w:ilvl w:val="0"/>
          <w:numId w:val="1"/>
        </w:numPr>
        <w:spacing w:after="0" w:line="360" w:lineRule="auto"/>
        <w:ind w:firstLine="709"/>
        <w:jc w:val="both"/>
        <w:rPr>
          <w:sz w:val="24"/>
          <w:szCs w:val="24"/>
        </w:rPr>
      </w:pPr>
      <w:r w:rsidRPr="00F619D7">
        <w:rPr>
          <w:sz w:val="24"/>
          <w:szCs w:val="24"/>
        </w:rPr>
        <w:t>Cuando lo estime necesario por razones de seguridad, el Servicio Nacional de Migración, podrá exigirle al solicitante que certifique la autenticidad</w:t>
      </w:r>
      <w:r w:rsidR="00416D39" w:rsidRPr="00F619D7">
        <w:rPr>
          <w:sz w:val="24"/>
          <w:szCs w:val="24"/>
        </w:rPr>
        <w:t xml:space="preserve"> del pasaporte.</w:t>
      </w:r>
    </w:p>
    <w:p w:rsidR="00416D39" w:rsidRPr="00F619D7" w:rsidRDefault="00416D39" w:rsidP="00F619D7">
      <w:pPr>
        <w:pStyle w:val="Prrafodelista"/>
        <w:numPr>
          <w:ilvl w:val="0"/>
          <w:numId w:val="1"/>
        </w:numPr>
        <w:spacing w:after="0" w:line="360" w:lineRule="auto"/>
        <w:ind w:firstLine="709"/>
        <w:jc w:val="both"/>
        <w:rPr>
          <w:sz w:val="24"/>
          <w:szCs w:val="24"/>
        </w:rPr>
      </w:pPr>
      <w:r w:rsidRPr="00F619D7">
        <w:rPr>
          <w:sz w:val="24"/>
          <w:szCs w:val="24"/>
        </w:rPr>
        <w:t>Certificado de antecedentes penales del país de origen o de residencia.  En aquellos países donde no se expida este documento, el interesado deberá aportar una certificación de un agente diplomático o consular de su país de origen acreditado en la República de Panamá, en la que conste la inexistencia de dicho certificado y una declaración jurada ante notario público, en la que conste que no posee antecedentes penales.</w:t>
      </w:r>
    </w:p>
    <w:p w:rsidR="00416D39" w:rsidRPr="00F619D7" w:rsidRDefault="00416D39" w:rsidP="00F619D7">
      <w:pPr>
        <w:pStyle w:val="Prrafodelista"/>
        <w:numPr>
          <w:ilvl w:val="0"/>
          <w:numId w:val="1"/>
        </w:numPr>
        <w:spacing w:after="0" w:line="360" w:lineRule="auto"/>
        <w:ind w:firstLine="709"/>
        <w:jc w:val="both"/>
        <w:rPr>
          <w:sz w:val="24"/>
          <w:szCs w:val="24"/>
        </w:rPr>
      </w:pPr>
      <w:r w:rsidRPr="00F619D7">
        <w:rPr>
          <w:sz w:val="24"/>
          <w:szCs w:val="24"/>
        </w:rPr>
        <w:lastRenderedPageBreak/>
        <w:t>Certificado de salud expedido por un profesional idóneo, dentro de los tres meses anteriores a la presentación de la solicitud.</w:t>
      </w:r>
    </w:p>
    <w:p w:rsidR="00416D39" w:rsidRPr="00F619D7" w:rsidRDefault="00416D39" w:rsidP="00F619D7">
      <w:pPr>
        <w:pStyle w:val="Prrafodelista"/>
        <w:numPr>
          <w:ilvl w:val="0"/>
          <w:numId w:val="1"/>
        </w:numPr>
        <w:spacing w:after="0" w:line="360" w:lineRule="auto"/>
        <w:ind w:firstLine="709"/>
        <w:jc w:val="both"/>
        <w:rPr>
          <w:sz w:val="24"/>
          <w:szCs w:val="24"/>
        </w:rPr>
      </w:pPr>
      <w:r w:rsidRPr="00F619D7">
        <w:rPr>
          <w:sz w:val="24"/>
          <w:szCs w:val="24"/>
        </w:rPr>
        <w:t>Pago de doscientos cincuenta balboas a favor del Tesoro Nacional en concepto de derechos por la solicitud de una categoría migratoria, y de ochocientos balboas a favor del Servicio Nacional de Migración en concepto de depósito de repatriación.</w:t>
      </w:r>
    </w:p>
    <w:p w:rsidR="00416D39" w:rsidRPr="00F619D7" w:rsidRDefault="00416D39" w:rsidP="00F619D7">
      <w:pPr>
        <w:pStyle w:val="Prrafodelista"/>
        <w:numPr>
          <w:ilvl w:val="0"/>
          <w:numId w:val="1"/>
        </w:numPr>
        <w:spacing w:after="0" w:line="360" w:lineRule="auto"/>
        <w:ind w:firstLine="709"/>
        <w:jc w:val="both"/>
        <w:rPr>
          <w:sz w:val="24"/>
          <w:szCs w:val="24"/>
        </w:rPr>
      </w:pPr>
      <w:r w:rsidRPr="00F619D7">
        <w:rPr>
          <w:sz w:val="24"/>
          <w:szCs w:val="24"/>
        </w:rPr>
        <w:t>Declaración jurada de antecedentes personales.</w:t>
      </w:r>
    </w:p>
    <w:p w:rsidR="00416D39" w:rsidRPr="00F619D7" w:rsidRDefault="00416D39" w:rsidP="00F619D7">
      <w:pPr>
        <w:pStyle w:val="Prrafodelista"/>
        <w:numPr>
          <w:ilvl w:val="0"/>
          <w:numId w:val="1"/>
        </w:numPr>
        <w:spacing w:after="0" w:line="360" w:lineRule="auto"/>
        <w:ind w:firstLine="709"/>
        <w:jc w:val="both"/>
        <w:rPr>
          <w:sz w:val="24"/>
          <w:szCs w:val="24"/>
        </w:rPr>
      </w:pPr>
      <w:r w:rsidRPr="00F619D7">
        <w:rPr>
          <w:sz w:val="24"/>
          <w:szCs w:val="24"/>
        </w:rPr>
        <w:t>Dos Fotografías tamaño carné recientes, con el rostro descubierto.</w:t>
      </w:r>
    </w:p>
    <w:p w:rsidR="00416D39" w:rsidRPr="00F619D7" w:rsidRDefault="00416D39" w:rsidP="00F619D7">
      <w:pPr>
        <w:pStyle w:val="Prrafodelista"/>
        <w:numPr>
          <w:ilvl w:val="0"/>
          <w:numId w:val="1"/>
        </w:numPr>
        <w:spacing w:after="0" w:line="360" w:lineRule="auto"/>
        <w:ind w:firstLine="709"/>
        <w:jc w:val="both"/>
        <w:rPr>
          <w:sz w:val="24"/>
          <w:szCs w:val="24"/>
        </w:rPr>
      </w:pPr>
      <w:r w:rsidRPr="00F619D7">
        <w:rPr>
          <w:sz w:val="24"/>
          <w:szCs w:val="24"/>
        </w:rPr>
        <w:t>Certificado del Registro Público que compruebe la propiedad de los bienes inmuebles, a título personal del solicitante con un valor mínimo de trescientos mil (B/:300,000.00), libre de gravámenes.</w:t>
      </w:r>
    </w:p>
    <w:p w:rsidR="00416D39" w:rsidRPr="00F619D7" w:rsidRDefault="00416D39" w:rsidP="00F619D7">
      <w:pPr>
        <w:pStyle w:val="Prrafodelista"/>
        <w:numPr>
          <w:ilvl w:val="0"/>
          <w:numId w:val="1"/>
        </w:numPr>
        <w:spacing w:after="0" w:line="360" w:lineRule="auto"/>
        <w:ind w:firstLine="709"/>
        <w:jc w:val="both"/>
        <w:rPr>
          <w:sz w:val="24"/>
          <w:szCs w:val="24"/>
        </w:rPr>
      </w:pPr>
      <w:r w:rsidRPr="00F619D7">
        <w:rPr>
          <w:sz w:val="24"/>
          <w:szCs w:val="24"/>
        </w:rPr>
        <w:t>En el caso de que el título de los bienes inmuebles, estén a nombre de una fundación de interés privado, el extranjero podrá solicitar este  permiso siempre y cuando demuestre que es el fundador y él o sus dependientes sean los beneficiarios.  El certificado del Registro Público deberá mostrar la designación de fundador y beneficiario.</w:t>
      </w:r>
    </w:p>
    <w:p w:rsidR="00416D39" w:rsidRPr="00F619D7" w:rsidRDefault="00416D39" w:rsidP="00F619D7">
      <w:pPr>
        <w:pStyle w:val="Prrafodelista"/>
        <w:numPr>
          <w:ilvl w:val="0"/>
          <w:numId w:val="1"/>
        </w:numPr>
        <w:spacing w:after="0" w:line="360" w:lineRule="auto"/>
        <w:ind w:firstLine="709"/>
        <w:jc w:val="both"/>
        <w:rPr>
          <w:sz w:val="24"/>
          <w:szCs w:val="24"/>
        </w:rPr>
      </w:pPr>
      <w:r w:rsidRPr="00F619D7">
        <w:rPr>
          <w:sz w:val="24"/>
          <w:szCs w:val="24"/>
        </w:rPr>
        <w:t xml:space="preserve">En el caso de que el solicitante acredite que </w:t>
      </w:r>
      <w:proofErr w:type="spellStart"/>
      <w:r w:rsidRPr="00F619D7">
        <w:rPr>
          <w:sz w:val="24"/>
          <w:szCs w:val="24"/>
        </w:rPr>
        <w:t>a</w:t>
      </w:r>
      <w:proofErr w:type="spellEnd"/>
      <w:r w:rsidRPr="00F619D7">
        <w:rPr>
          <w:sz w:val="24"/>
          <w:szCs w:val="24"/>
        </w:rPr>
        <w:t xml:space="preserve"> pagado la suma liquida de trescientos mil balboas (B/.300,000.00) en un bien inmueble y esté sea de un valor superior a lo requerido, podrá financiar el remanente a través de préstamo hipotecario de un banco local.</w:t>
      </w:r>
    </w:p>
    <w:sectPr w:rsidR="00416D39" w:rsidRPr="00F619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5C1" w:rsidRDefault="004555C1" w:rsidP="00F619D7">
      <w:pPr>
        <w:spacing w:after="0" w:line="240" w:lineRule="auto"/>
      </w:pPr>
      <w:r>
        <w:separator/>
      </w:r>
    </w:p>
  </w:endnote>
  <w:endnote w:type="continuationSeparator" w:id="0">
    <w:p w:rsidR="004555C1" w:rsidRDefault="004555C1" w:rsidP="00F6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5C1" w:rsidRDefault="004555C1" w:rsidP="00F619D7">
      <w:pPr>
        <w:spacing w:after="0" w:line="240" w:lineRule="auto"/>
      </w:pPr>
      <w:r>
        <w:separator/>
      </w:r>
    </w:p>
  </w:footnote>
  <w:footnote w:type="continuationSeparator" w:id="0">
    <w:p w:rsidR="004555C1" w:rsidRDefault="004555C1" w:rsidP="00F61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9D7" w:rsidRDefault="00F619D7" w:rsidP="00F619D7">
    <w:pPr>
      <w:pStyle w:val="Encabezado"/>
      <w:jc w:val="right"/>
    </w:pPr>
    <w:r>
      <w:rPr>
        <w:noProof/>
        <w:lang w:eastAsia="es-MX"/>
      </w:rPr>
      <w:drawing>
        <wp:inline distT="0" distB="0" distL="0" distR="0" wp14:anchorId="01D80360" wp14:editId="570620C3">
          <wp:extent cx="1370965" cy="993140"/>
          <wp:effectExtent l="0" t="0" r="635" b="0"/>
          <wp:docPr id="1" name="Imagen 1" descr="Descripción: RH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n 1" descr="Descripción: RHD++">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70965" cy="993140"/>
                  </a:xfrm>
                  <a:prstGeom prst="rect">
                    <a:avLst/>
                  </a:prstGeom>
                  <a:noFill/>
                  <a:ln>
                    <a:noFill/>
                  </a:ln>
                </pic:spPr>
              </pic:pic>
            </a:graphicData>
          </a:graphic>
        </wp:inline>
      </w:drawing>
    </w:r>
  </w:p>
  <w:p w:rsidR="00F619D7" w:rsidRDefault="00F619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A0466"/>
    <w:multiLevelType w:val="hybridMultilevel"/>
    <w:tmpl w:val="E9F633E2"/>
    <w:lvl w:ilvl="0" w:tplc="2738F54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E1"/>
    <w:rsid w:val="00416D39"/>
    <w:rsid w:val="004555C1"/>
    <w:rsid w:val="007D2C3A"/>
    <w:rsid w:val="00DA49A7"/>
    <w:rsid w:val="00F115E1"/>
    <w:rsid w:val="00F619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15E1"/>
    <w:pPr>
      <w:ind w:left="720"/>
      <w:contextualSpacing/>
    </w:pPr>
  </w:style>
  <w:style w:type="paragraph" w:styleId="Encabezado">
    <w:name w:val="header"/>
    <w:basedOn w:val="Normal"/>
    <w:link w:val="EncabezadoCar"/>
    <w:uiPriority w:val="99"/>
    <w:unhideWhenUsed/>
    <w:rsid w:val="00F61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19D7"/>
  </w:style>
  <w:style w:type="paragraph" w:styleId="Piedepgina">
    <w:name w:val="footer"/>
    <w:basedOn w:val="Normal"/>
    <w:link w:val="PiedepginaCar"/>
    <w:uiPriority w:val="99"/>
    <w:unhideWhenUsed/>
    <w:rsid w:val="00F61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19D7"/>
  </w:style>
  <w:style w:type="paragraph" w:styleId="Textodeglobo">
    <w:name w:val="Balloon Text"/>
    <w:basedOn w:val="Normal"/>
    <w:link w:val="TextodegloboCar"/>
    <w:uiPriority w:val="99"/>
    <w:semiHidden/>
    <w:unhideWhenUsed/>
    <w:rsid w:val="00F619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19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15E1"/>
    <w:pPr>
      <w:ind w:left="720"/>
      <w:contextualSpacing/>
    </w:pPr>
  </w:style>
  <w:style w:type="paragraph" w:styleId="Encabezado">
    <w:name w:val="header"/>
    <w:basedOn w:val="Normal"/>
    <w:link w:val="EncabezadoCar"/>
    <w:uiPriority w:val="99"/>
    <w:unhideWhenUsed/>
    <w:rsid w:val="00F61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19D7"/>
  </w:style>
  <w:style w:type="paragraph" w:styleId="Piedepgina">
    <w:name w:val="footer"/>
    <w:basedOn w:val="Normal"/>
    <w:link w:val="PiedepginaCar"/>
    <w:uiPriority w:val="99"/>
    <w:unhideWhenUsed/>
    <w:rsid w:val="00F61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19D7"/>
  </w:style>
  <w:style w:type="paragraph" w:styleId="Textodeglobo">
    <w:name w:val="Balloon Text"/>
    <w:basedOn w:val="Normal"/>
    <w:link w:val="TextodegloboCar"/>
    <w:uiPriority w:val="99"/>
    <w:semiHidden/>
    <w:unhideWhenUsed/>
    <w:rsid w:val="00F619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1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CCECA4.85B49DA0" TargetMode="External"/><Relationship Id="rId2" Type="http://schemas.openxmlformats.org/officeDocument/2006/relationships/image" Target="media/image1.jpeg"/><Relationship Id="rId1" Type="http://schemas.openxmlformats.org/officeDocument/2006/relationships/hyperlink" Target="http://www.rhdabogado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454</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3</cp:revision>
  <dcterms:created xsi:type="dcterms:W3CDTF">2011-11-09T15:56:00Z</dcterms:created>
  <dcterms:modified xsi:type="dcterms:W3CDTF">2012-02-16T19:27:00Z</dcterms:modified>
</cp:coreProperties>
</file>