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71" w:rsidRPr="001B3E11" w:rsidRDefault="00D06019" w:rsidP="001B3E11">
      <w:pPr>
        <w:spacing w:after="0" w:line="360" w:lineRule="auto"/>
        <w:ind w:firstLine="709"/>
        <w:jc w:val="center"/>
        <w:rPr>
          <w:b/>
          <w:sz w:val="24"/>
          <w:szCs w:val="24"/>
          <w:u w:val="single"/>
        </w:rPr>
      </w:pPr>
      <w:bookmarkStart w:id="0" w:name="_GoBack"/>
      <w:r w:rsidRPr="001B3E11">
        <w:rPr>
          <w:b/>
          <w:sz w:val="24"/>
          <w:szCs w:val="24"/>
          <w:u w:val="single"/>
        </w:rPr>
        <w:t>REQUISITOS PARA EL REGISTRO DE COSMÉTICOS, PLAGUICIDAS DE USO DOMÉSTICO Y DE SALUD PÚBLICA Y PRODUCTOS DE LIMPIEZA CON ACCIÓN ANTISÉPTICA, FUNGICIDA, BACTERICIDA Y DESINFECTANTE</w:t>
      </w:r>
    </w:p>
    <w:bookmarkEnd w:id="0"/>
    <w:p w:rsidR="00D06019" w:rsidRPr="001B3E11" w:rsidRDefault="00D06019" w:rsidP="001B3E11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Solicitud mediante abogado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Poder (si amerita)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Refrendo de Farmacéutico Idóneo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Refrendo del Colegio Nacional de Farmacéuticos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Etiqueta (primaria y secundaria)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Muestra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Recibo de pago de la Tasa por Servicio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Recibo de pago del I.E.A. (1)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Patrones analíticos, cuando se requieran *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Certificado de Libre Venta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Certificado de Buenas Prácticas de Manufactura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Fórmula Cuali-cuantitativa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Método de Análisis *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Especificaciones del Producto Terminado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Hoja de datos de seguridad ( Información toxicológica) *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Estudios de residualidad e información eco toxicológica en el caso de plaguicidas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Estudios que avalen propiedades especificas tales como:</w:t>
      </w:r>
    </w:p>
    <w:p w:rsidR="00D06019" w:rsidRPr="001B3E11" w:rsidRDefault="00D06019" w:rsidP="001B3E1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“Dermatológicamente comprobado”,  “Hipo alergénico</w:t>
      </w:r>
      <w:r w:rsidR="001B3E11" w:rsidRPr="001B3E11">
        <w:rPr>
          <w:sz w:val="24"/>
          <w:szCs w:val="24"/>
        </w:rPr>
        <w:t>”,</w:t>
      </w:r>
      <w:r w:rsidRPr="001B3E11">
        <w:rPr>
          <w:sz w:val="24"/>
          <w:szCs w:val="24"/>
        </w:rPr>
        <w:t xml:space="preserve"> etc.</w:t>
      </w:r>
    </w:p>
    <w:p w:rsidR="00D06019" w:rsidRPr="001B3E11" w:rsidRDefault="00D06019" w:rsidP="001B3E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D06019" w:rsidRPr="001B3E11" w:rsidRDefault="00D06019" w:rsidP="001B3E11">
      <w:pPr>
        <w:spacing w:after="0" w:line="360" w:lineRule="auto"/>
        <w:ind w:firstLine="709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(1)Los productos sanitarios, antisépticos y desinfectantes de uso hospitalario así como plaguicidas de uso doméstico y de salud pública serán objeto de análisis previo antes de la emisión del registro sanitario.</w:t>
      </w:r>
    </w:p>
    <w:p w:rsidR="00D06019" w:rsidRPr="001B3E11" w:rsidRDefault="00D06019" w:rsidP="001B3E11">
      <w:pPr>
        <w:spacing w:after="0" w:line="360" w:lineRule="auto"/>
        <w:ind w:firstLine="709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*No requerido para productos cosméticos.</w:t>
      </w:r>
    </w:p>
    <w:p w:rsidR="00D06019" w:rsidRPr="001B3E11" w:rsidRDefault="00D06019" w:rsidP="001B3E11">
      <w:pPr>
        <w:spacing w:after="0" w:line="360" w:lineRule="auto"/>
        <w:ind w:firstLine="709"/>
        <w:jc w:val="both"/>
        <w:rPr>
          <w:sz w:val="24"/>
          <w:szCs w:val="24"/>
        </w:rPr>
      </w:pPr>
      <w:r w:rsidRPr="001B3E11">
        <w:rPr>
          <w:sz w:val="24"/>
          <w:szCs w:val="24"/>
        </w:rPr>
        <w:lastRenderedPageBreak/>
        <w:t>En los casos de cosméticos, productos de aseo, de limpieza y de higiene personal, se podrán  agrupar en una sola solicitud, hasta diez (10) variantes. (Ej. Aroma, color).</w:t>
      </w:r>
    </w:p>
    <w:p w:rsidR="00D06019" w:rsidRPr="001B3E11" w:rsidRDefault="00D06019" w:rsidP="001B3E11">
      <w:pPr>
        <w:spacing w:after="0" w:line="360" w:lineRule="auto"/>
        <w:ind w:firstLine="709"/>
        <w:jc w:val="both"/>
        <w:rPr>
          <w:sz w:val="24"/>
          <w:szCs w:val="24"/>
        </w:rPr>
      </w:pPr>
      <w:r w:rsidRPr="001B3E11">
        <w:rPr>
          <w:sz w:val="24"/>
          <w:szCs w:val="24"/>
        </w:rPr>
        <w:t>Mayor información se encuentra en el Decreto 178 de 12 de julio de 2001 (artículo 1.43</w:t>
      </w:r>
      <w:r w:rsidR="001B3E11" w:rsidRPr="001B3E11">
        <w:rPr>
          <w:sz w:val="24"/>
          <w:szCs w:val="24"/>
        </w:rPr>
        <w:t>, 59</w:t>
      </w:r>
      <w:r w:rsidRPr="001B3E11">
        <w:rPr>
          <w:sz w:val="24"/>
          <w:szCs w:val="24"/>
        </w:rPr>
        <w:t>-71 y 88-91), el Decreto 105 de 15 de abril de 2003 que modifica el Decreto 178 en los artículos 7,21 y 59 para este tipo de productos, Decreto 390 de 27 de agosto de 2007 y el Decreto 504 de 9 de noviembre de 2005.</w:t>
      </w:r>
    </w:p>
    <w:sectPr w:rsidR="00D06019" w:rsidRPr="001B3E1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75" w:rsidRDefault="007A2E75" w:rsidP="001B3E11">
      <w:pPr>
        <w:spacing w:after="0" w:line="240" w:lineRule="auto"/>
      </w:pPr>
      <w:r>
        <w:separator/>
      </w:r>
    </w:p>
  </w:endnote>
  <w:endnote w:type="continuationSeparator" w:id="0">
    <w:p w:rsidR="007A2E75" w:rsidRDefault="007A2E75" w:rsidP="001B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75" w:rsidRDefault="007A2E75" w:rsidP="001B3E11">
      <w:pPr>
        <w:spacing w:after="0" w:line="240" w:lineRule="auto"/>
      </w:pPr>
      <w:r>
        <w:separator/>
      </w:r>
    </w:p>
  </w:footnote>
  <w:footnote w:type="continuationSeparator" w:id="0">
    <w:p w:rsidR="007A2E75" w:rsidRDefault="007A2E75" w:rsidP="001B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1" w:rsidRDefault="001B3E11" w:rsidP="001B3E11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68A03D26" wp14:editId="6656CE6B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E11" w:rsidRDefault="001B3E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68A"/>
    <w:multiLevelType w:val="hybridMultilevel"/>
    <w:tmpl w:val="35569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E2C53"/>
    <w:multiLevelType w:val="hybridMultilevel"/>
    <w:tmpl w:val="72A6C284"/>
    <w:lvl w:ilvl="0" w:tplc="580C4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19"/>
    <w:rsid w:val="001B3E11"/>
    <w:rsid w:val="007A2E75"/>
    <w:rsid w:val="00A66E71"/>
    <w:rsid w:val="00D0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0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3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E11"/>
  </w:style>
  <w:style w:type="paragraph" w:styleId="Piedepgina">
    <w:name w:val="footer"/>
    <w:basedOn w:val="Normal"/>
    <w:link w:val="PiedepginaCar"/>
    <w:uiPriority w:val="99"/>
    <w:unhideWhenUsed/>
    <w:rsid w:val="001B3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E11"/>
  </w:style>
  <w:style w:type="paragraph" w:styleId="Textodeglobo">
    <w:name w:val="Balloon Text"/>
    <w:basedOn w:val="Normal"/>
    <w:link w:val="TextodegloboCar"/>
    <w:uiPriority w:val="99"/>
    <w:semiHidden/>
    <w:unhideWhenUsed/>
    <w:rsid w:val="001B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0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3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E11"/>
  </w:style>
  <w:style w:type="paragraph" w:styleId="Piedepgina">
    <w:name w:val="footer"/>
    <w:basedOn w:val="Normal"/>
    <w:link w:val="PiedepginaCar"/>
    <w:uiPriority w:val="99"/>
    <w:unhideWhenUsed/>
    <w:rsid w:val="001B3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E11"/>
  </w:style>
  <w:style w:type="paragraph" w:styleId="Textodeglobo">
    <w:name w:val="Balloon Text"/>
    <w:basedOn w:val="Normal"/>
    <w:link w:val="TextodegloboCar"/>
    <w:uiPriority w:val="99"/>
    <w:semiHidden/>
    <w:unhideWhenUsed/>
    <w:rsid w:val="001B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2011-11-29T21:42:00Z</dcterms:created>
  <dcterms:modified xsi:type="dcterms:W3CDTF">2012-02-16T18:48:00Z</dcterms:modified>
</cp:coreProperties>
</file>